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5A7" w:rsidRDefault="008425A7">
      <w:pPr>
        <w:pStyle w:val="Titredelarticle"/>
      </w:pPr>
    </w:p>
    <w:p w:rsidR="008425A7" w:rsidRDefault="008425A7">
      <w:pPr>
        <w:pStyle w:val="Titredelarticle"/>
        <w:spacing w:after="0"/>
      </w:pPr>
    </w:p>
    <w:p w:rsidR="008425A7" w:rsidRDefault="00396D66">
      <w:pPr>
        <w:pStyle w:val="Titredelarticle"/>
        <w:spacing w:after="0"/>
      </w:pPr>
      <w:r>
        <w:rPr>
          <w:rFonts w:ascii="Calibri" w:hAnsi="Calibri" w:cs="Calibri"/>
          <w:i/>
          <w:iCs/>
          <w:sz w:val="28"/>
          <w:szCs w:val="28"/>
        </w:rPr>
        <w:t xml:space="preserve">Echantillonnage optimum sous contraintes 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 xml:space="preserve">fortes </w:t>
      </w:r>
      <w:r>
        <w:rPr>
          <w:rFonts w:ascii="Calibri" w:hAnsi="Calibri" w:cs="Calibri"/>
          <w:b w:val="0"/>
          <w:i/>
          <w:iCs/>
          <w:sz w:val="28"/>
          <w:szCs w:val="28"/>
          <w:shd w:val="clear" w:color="auto" w:fill="FFFF00"/>
        </w:rPr>
        <w:t xml:space="preserve"> CALIBRI</w:t>
      </w:r>
      <w:proofErr w:type="gramEnd"/>
      <w:r>
        <w:rPr>
          <w:rFonts w:ascii="Calibri" w:hAnsi="Calibri" w:cs="Calibri"/>
          <w:b w:val="0"/>
          <w:i/>
          <w:iCs/>
          <w:sz w:val="28"/>
          <w:szCs w:val="28"/>
          <w:shd w:val="clear" w:color="auto" w:fill="FFFF00"/>
        </w:rPr>
        <w:t xml:space="preserve"> 14</w:t>
      </w:r>
    </w:p>
    <w:p w:rsidR="008425A7" w:rsidRDefault="00396D66">
      <w:pPr>
        <w:pStyle w:val="Auteurs"/>
        <w:jc w:val="center"/>
      </w:pPr>
      <w:r>
        <w:rPr>
          <w:rFonts w:ascii="Calibri" w:hAnsi="Calibri" w:cs="Calibri"/>
        </w:rPr>
        <w:t xml:space="preserve">Antoine DUPONT (*), Alii (**) </w:t>
      </w:r>
      <w:bookmarkStart w:id="0" w:name="_Hlk76981366"/>
      <w:r>
        <w:rPr>
          <w:rFonts w:ascii="Calibri" w:hAnsi="Calibri" w:cs="Calibri"/>
          <w:iCs/>
          <w:shd w:val="clear" w:color="auto" w:fill="FFFF00"/>
        </w:rPr>
        <w:t>Calibri 12</w:t>
      </w:r>
      <w:bookmarkEnd w:id="0"/>
    </w:p>
    <w:p w:rsidR="008425A7" w:rsidRDefault="00396D66">
      <w:pPr>
        <w:pStyle w:val="Organismedu1erauteur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(*) Insee, Direction de la méthodologie et de la coordination statistique et internationale</w:t>
      </w:r>
    </w:p>
    <w:p w:rsidR="008425A7" w:rsidRDefault="00396D66">
      <w:pPr>
        <w:pStyle w:val="Organismedesautresauteurs"/>
        <w:jc w:val="center"/>
      </w:pPr>
      <w:r>
        <w:rPr>
          <w:rFonts w:ascii="Calibri" w:hAnsi="Calibri" w:cs="Calibri"/>
          <w:szCs w:val="24"/>
        </w:rPr>
        <w:t>(**) Insee, Département de la Démographie</w:t>
      </w:r>
      <w:r>
        <w:rPr>
          <w:rFonts w:ascii="Calibri" w:hAnsi="Calibri" w:cs="Calibri"/>
          <w:iCs/>
          <w:shd w:val="clear" w:color="auto" w:fill="FFFF00"/>
        </w:rPr>
        <w:t xml:space="preserve"> Calibri 12</w:t>
      </w:r>
    </w:p>
    <w:p w:rsidR="008425A7" w:rsidRDefault="008425A7">
      <w:pPr>
        <w:pStyle w:val="Standard"/>
        <w:rPr>
          <w:rFonts w:ascii="Calibri" w:hAnsi="Calibri"/>
          <w:sz w:val="24"/>
        </w:rPr>
      </w:pPr>
    </w:p>
    <w:p w:rsidR="008425A7" w:rsidRDefault="00396D66">
      <w:pPr>
        <w:widowControl/>
        <w:jc w:val="center"/>
      </w:pPr>
      <w:r>
        <w:rPr>
          <w:rFonts w:ascii="Calibri" w:eastAsia="Times New Roman" w:hAnsi="Calibri" w:cs="Calibri"/>
          <w:lang w:bidi="ar-SA"/>
        </w:rPr>
        <w:t xml:space="preserve">        </w:t>
      </w:r>
      <w:hyperlink r:id="rId7" w:history="1">
        <w:r>
          <w:rPr>
            <w:rFonts w:ascii="Calibri" w:eastAsia="Times New Roman" w:hAnsi="Calibri" w:cs="Calibri"/>
            <w:lang w:bidi="ar-SA"/>
          </w:rPr>
          <w:t>antoine.dupont@insee.fr</w:t>
        </w:r>
      </w:hyperlink>
      <w:r>
        <w:rPr>
          <w:rFonts w:ascii="Calibri" w:eastAsia="Times New Roman" w:hAnsi="Calibri" w:cs="Calibri"/>
          <w:lang w:bidi="ar-SA"/>
        </w:rPr>
        <w:t xml:space="preserve">  </w:t>
      </w:r>
      <w:bookmarkStart w:id="1" w:name="_Hlk76981448"/>
      <w:r>
        <w:rPr>
          <w:rFonts w:ascii="Calibri" w:eastAsia="Times New Roman" w:hAnsi="Calibri" w:cs="Calibri"/>
          <w:shd w:val="clear" w:color="auto" w:fill="FFFF00"/>
          <w:lang w:bidi="ar-SA"/>
        </w:rPr>
        <w:t>Calibri 12</w:t>
      </w:r>
      <w:bookmarkEnd w:id="1"/>
    </w:p>
    <w:p w:rsidR="008425A7" w:rsidRDefault="008425A7">
      <w:pPr>
        <w:widowControl/>
        <w:jc w:val="center"/>
      </w:pPr>
    </w:p>
    <w:p w:rsidR="008425A7" w:rsidRDefault="00396D66">
      <w:pPr>
        <w:widowControl/>
        <w:jc w:val="both"/>
      </w:pPr>
      <w:r>
        <w:rPr>
          <w:rFonts w:ascii="Calibri" w:eastAsia="Times New Roman" w:hAnsi="Calibri" w:cs="Calibri"/>
          <w:b/>
          <w:bCs/>
          <w:lang w:bidi="ar-SA"/>
        </w:rPr>
        <w:t>Mots-clés</w:t>
      </w:r>
      <w:r>
        <w:rPr>
          <w:rFonts w:ascii="Calibri" w:eastAsia="Times New Roman" w:hAnsi="Calibri" w:cs="Calibri"/>
          <w:lang w:bidi="ar-SA"/>
        </w:rPr>
        <w:t xml:space="preserve"> </w:t>
      </w:r>
      <w:r>
        <w:rPr>
          <w:rFonts w:ascii="Calibri" w:eastAsia="Times New Roman" w:hAnsi="Calibri" w:cs="Calibri"/>
          <w:i/>
          <w:iCs/>
          <w:lang w:bidi="ar-SA"/>
        </w:rPr>
        <w:t>(6 maximum)</w:t>
      </w:r>
      <w:r>
        <w:rPr>
          <w:rFonts w:ascii="Calibri" w:eastAsia="Times New Roman" w:hAnsi="Calibri" w:cs="Calibri"/>
          <w:lang w:bidi="ar-SA"/>
        </w:rPr>
        <w:t xml:space="preserve"> : Échantillonnage, calage, collecte, équilibrage, multimode, séries temporelles     </w:t>
      </w:r>
      <w:r>
        <w:rPr>
          <w:rFonts w:ascii="Calibri" w:eastAsia="Times New Roman" w:hAnsi="Calibri" w:cs="Calibri"/>
          <w:i/>
          <w:iCs/>
          <w:shd w:val="clear" w:color="auto" w:fill="FFFF00"/>
          <w:lang w:bidi="ar-SA"/>
        </w:rPr>
        <w:t xml:space="preserve"> </w:t>
      </w:r>
      <w:r>
        <w:rPr>
          <w:rFonts w:ascii="Calibri" w:eastAsia="Times New Roman" w:hAnsi="Calibri" w:cs="Calibri"/>
          <w:shd w:val="clear" w:color="auto" w:fill="FFFF00"/>
          <w:lang w:bidi="ar-SA"/>
        </w:rPr>
        <w:t>Calibri 12</w:t>
      </w:r>
    </w:p>
    <w:p w:rsidR="008425A7" w:rsidRDefault="008425A7">
      <w:pPr>
        <w:widowControl/>
        <w:jc w:val="both"/>
      </w:pPr>
    </w:p>
    <w:p w:rsidR="008425A7" w:rsidRDefault="00396D66">
      <w:pPr>
        <w:widowControl/>
        <w:jc w:val="both"/>
      </w:pPr>
      <w:r>
        <w:rPr>
          <w:rFonts w:ascii="Calibri" w:eastAsia="Times New Roman" w:hAnsi="Calibri" w:cs="Calibri"/>
          <w:b/>
          <w:bCs/>
          <w:lang w:bidi="ar-SA"/>
        </w:rPr>
        <w:t>Domaine concerné</w:t>
      </w:r>
      <w:r>
        <w:rPr>
          <w:rFonts w:ascii="Calibri" w:eastAsia="Times New Roman" w:hAnsi="Calibri" w:cs="Calibri"/>
          <w:lang w:bidi="ar-SA"/>
        </w:rPr>
        <w:t xml:space="preserve"> :   </w:t>
      </w:r>
      <w:r>
        <w:rPr>
          <w:rFonts w:ascii="Calibri" w:eastAsia="Times New Roman" w:hAnsi="Calibri" w:cs="Calibri"/>
          <w:shd w:val="clear" w:color="auto" w:fill="FFFF00"/>
          <w:lang w:bidi="ar-SA"/>
        </w:rPr>
        <w:t>Calibri 12</w:t>
      </w:r>
      <w:r>
        <w:rPr>
          <w:rFonts w:ascii="Calibri" w:eastAsia="Times New Roman" w:hAnsi="Calibri" w:cs="Calibri"/>
          <w:lang w:bidi="ar-SA"/>
        </w:rPr>
        <w:t xml:space="preserve">    </w:t>
      </w:r>
      <w:proofErr w:type="gramStart"/>
      <w:r>
        <w:rPr>
          <w:rFonts w:ascii="Liberation Sans" w:eastAsia="Liberation Sans" w:hAnsi="Liberation Sans" w:cs="Liberation Sans"/>
          <w:lang w:bidi="ar-SA"/>
        </w:rPr>
        <w:t>→</w:t>
      </w:r>
      <w:r>
        <w:rPr>
          <w:rFonts w:ascii="Calibri" w:eastAsia="Times New Roman" w:hAnsi="Calibri" w:cs="Calibri"/>
          <w:lang w:bidi="ar-SA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color w:val="C9211E"/>
          <w:lang w:bidi="ar-SA"/>
        </w:rPr>
        <w:t xml:space="preserve"> voir</w:t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C9211E"/>
          <w:lang w:bidi="ar-SA"/>
        </w:rPr>
        <w:t xml:space="preserve"> nomenclature du site (menu déroulant)</w:t>
      </w:r>
    </w:p>
    <w:p w:rsidR="008425A7" w:rsidRDefault="00396D66">
      <w:pPr>
        <w:pStyle w:val="Standard"/>
      </w:pPr>
      <w:r>
        <w:t>_________________________________________________________________________________</w:t>
      </w:r>
    </w:p>
    <w:p w:rsidR="008425A7" w:rsidRDefault="008425A7">
      <w:pPr>
        <w:pStyle w:val="Standard"/>
        <w:rPr>
          <w:rFonts w:ascii="Calibri" w:hAnsi="Calibri"/>
          <w:sz w:val="24"/>
          <w:szCs w:val="24"/>
        </w:rPr>
      </w:pPr>
    </w:p>
    <w:p w:rsidR="008425A7" w:rsidRDefault="00396D66">
      <w:pPr>
        <w:pStyle w:val="Standard"/>
      </w:pPr>
      <w:r>
        <w:rPr>
          <w:rFonts w:ascii="Calibri" w:hAnsi="Calibri"/>
          <w:b/>
          <w:bCs/>
          <w:sz w:val="24"/>
          <w:szCs w:val="24"/>
        </w:rPr>
        <w:t xml:space="preserve">Résumé </w:t>
      </w:r>
      <w:r>
        <w:rPr>
          <w:rFonts w:ascii="Calibri" w:hAnsi="Calibri"/>
          <w:sz w:val="24"/>
          <w:szCs w:val="24"/>
        </w:rPr>
        <w:t xml:space="preserve">(entre 1 page et 2 pages) </w:t>
      </w:r>
      <w:bookmarkStart w:id="2" w:name="_Hlk76981609"/>
      <w:r>
        <w:rPr>
          <w:rFonts w:ascii="Calibri" w:hAnsi="Calibri"/>
          <w:sz w:val="24"/>
          <w:szCs w:val="24"/>
          <w:shd w:val="clear" w:color="auto" w:fill="FFFF00"/>
        </w:rPr>
        <w:t>Calibri 12</w:t>
      </w:r>
      <w:bookmarkEnd w:id="2"/>
    </w:p>
    <w:p w:rsidR="008425A7" w:rsidRDefault="008425A7">
      <w:pPr>
        <w:pStyle w:val="Standard"/>
      </w:pPr>
    </w:p>
    <w:p w:rsidR="008425A7" w:rsidRDefault="00396D66">
      <w:pPr>
        <w:pStyle w:val="Standard"/>
      </w:pPr>
      <w:r>
        <w:rPr>
          <w:rFonts w:ascii="Calibri" w:hAnsi="Calibri"/>
          <w:sz w:val="22"/>
          <w:szCs w:val="22"/>
        </w:rPr>
        <w:t>Cet article reprend et enrichit une problématique déjà présentée aux JMS 2000</w:t>
      </w:r>
      <w:r>
        <w:rPr>
          <w:rStyle w:val="FootnoteSymbol"/>
          <w:rFonts w:ascii="Calibri" w:hAnsi="Calibri"/>
          <w:bCs/>
          <w:sz w:val="22"/>
          <w:szCs w:val="22"/>
        </w:rPr>
        <w:footnoteReference w:id="1"/>
      </w:r>
      <w:r>
        <w:rPr>
          <w:rFonts w:ascii="Calibri" w:hAnsi="Calibri"/>
          <w:sz w:val="22"/>
          <w:szCs w:val="22"/>
        </w:rPr>
        <w:t xml:space="preserve">. Il s’agit de constituer, au sein d’une population de référence, des classes présentant des conditions d’homogénéité ou d’hétérogénéité maximales vis-à-vis de certaines caractéristiques quantitatives. </w:t>
      </w:r>
      <w:bookmarkStart w:id="3" w:name="_Hlk76981609_Copie_1"/>
      <w:r>
        <w:rPr>
          <w:rFonts w:ascii="Calibri" w:hAnsi="Calibri"/>
          <w:sz w:val="24"/>
          <w:szCs w:val="24"/>
          <w:shd w:val="clear" w:color="auto" w:fill="FFFF00"/>
        </w:rPr>
        <w:t>Calibri 1</w:t>
      </w:r>
      <w:bookmarkEnd w:id="3"/>
      <w:r>
        <w:rPr>
          <w:rFonts w:ascii="Calibri" w:hAnsi="Calibri"/>
          <w:sz w:val="24"/>
          <w:szCs w:val="24"/>
          <w:shd w:val="clear" w:color="auto" w:fill="FFFF00"/>
        </w:rPr>
        <w:t>1</w:t>
      </w:r>
    </w:p>
    <w:p w:rsidR="008425A7" w:rsidRDefault="008425A7">
      <w:pPr>
        <w:pStyle w:val="Standard"/>
        <w:rPr>
          <w:rFonts w:ascii="Calibri" w:hAnsi="Calibri"/>
          <w:sz w:val="22"/>
          <w:szCs w:val="22"/>
        </w:rPr>
      </w:pPr>
    </w:p>
    <w:p w:rsidR="008425A7" w:rsidRDefault="00396D66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projet Nautile va se substituer au projet </w:t>
      </w:r>
      <w:proofErr w:type="spellStart"/>
      <w:r>
        <w:rPr>
          <w:rFonts w:ascii="Calibri" w:hAnsi="Calibri"/>
          <w:sz w:val="22"/>
          <w:szCs w:val="22"/>
        </w:rPr>
        <w:t>Octopusse</w:t>
      </w:r>
      <w:proofErr w:type="spellEnd"/>
      <w:r>
        <w:rPr>
          <w:rFonts w:ascii="Calibri" w:hAnsi="Calibri"/>
          <w:sz w:val="22"/>
          <w:szCs w:val="22"/>
        </w:rPr>
        <w:t> : mais la filiation est claire.</w:t>
      </w:r>
    </w:p>
    <w:p w:rsidR="008425A7" w:rsidRDefault="00396D66" w:rsidP="00D270E5">
      <w:pPr>
        <w:pStyle w:val="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est possible en fait de généraliser cette notion d’inertie en introduisant une </w:t>
      </w:r>
      <w:proofErr w:type="spellStart"/>
      <w:r>
        <w:rPr>
          <w:rFonts w:ascii="Calibri" w:hAnsi="Calibri"/>
          <w:sz w:val="22"/>
          <w:szCs w:val="22"/>
        </w:rPr>
        <w:t>pseudo-distance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m:oMath>
        <m:r>
          <w:rPr>
            <w:rFonts w:ascii="Cambria Math" w:hAnsi="Cambria Math"/>
          </w:rPr>
          <m:t>d</m:t>
        </m:r>
      </m:oMath>
      <w:r>
        <w:rPr>
          <w:rFonts w:ascii="Calibri" w:hAnsi="Calibri"/>
          <w:sz w:val="22"/>
          <w:szCs w:val="22"/>
        </w:rPr>
        <w:t xml:space="preserve"> entre les unités de la population de référence, non nécessairement euclidienne, et non nécessairement nulle lo</w:t>
      </w:r>
      <w:proofErr w:type="spellStart"/>
      <w:r>
        <w:rPr>
          <w:rFonts w:ascii="Calibri" w:hAnsi="Calibri"/>
          <w:sz w:val="22"/>
          <w:szCs w:val="22"/>
        </w:rPr>
        <w:t>rsqu’on</w:t>
      </w:r>
      <w:proofErr w:type="spellEnd"/>
      <w:r>
        <w:rPr>
          <w:rFonts w:ascii="Calibri" w:hAnsi="Calibri"/>
          <w:sz w:val="22"/>
          <w:szCs w:val="22"/>
        </w:rPr>
        <w:t xml:space="preserve"> mesure la distance d’une unité à elle-même. Sous réserve de donner des poids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 xml:space="preserve">i </m:t>
            </m:r>
          </m:sub>
        </m:sSub>
      </m:oMath>
      <w:r>
        <w:rPr>
          <w:rFonts w:ascii="Calibri" w:hAnsi="Calibri"/>
        </w:rPr>
        <w:t xml:space="preserve"> </w:t>
      </w:r>
      <w:r>
        <w:rPr>
          <w:rFonts w:ascii="Calibri" w:hAnsi="Calibri"/>
          <w:sz w:val="22"/>
          <w:szCs w:val="22"/>
        </w:rPr>
        <w:t>à chaque unité</w:t>
      </w:r>
      <m:oMath>
        <m:r>
          <w:rPr>
            <w:rFonts w:ascii="Cambria Math" w:hAnsi="Cambria Math"/>
          </w:rPr>
          <m:t>i</m:t>
        </m:r>
      </m:oMath>
      <w:r>
        <w:rPr>
          <w:rFonts w:ascii="Calibri" w:hAnsi="Calibri"/>
          <w:sz w:val="22"/>
          <w:szCs w:val="22"/>
        </w:rPr>
        <w:t>de la population, l’inertie d’une classe K sera donnée par :</w:t>
      </w:r>
    </w:p>
    <w:p w:rsidR="00355204" w:rsidRDefault="00355204">
      <w:pPr>
        <w:pStyle w:val="Text"/>
        <w:jc w:val="center"/>
        <w:rPr>
          <w:rFonts w:ascii="Calibri" w:hAnsi="Calibr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K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  <w:iCs/>
                  <w:sz w:val="22"/>
                  <w:szCs w:val="22"/>
                </w:rPr>
              </m:ctrlPr>
            </m:fPr>
            <m:num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Theme="majorEastAsia" w:hAnsi="Cambria Math" w:cstheme="majorBidi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Theme="majorEastAsia" w:hAnsi="Cambria Math" w:cstheme="majorBidi"/>
                      <w:sz w:val="22"/>
                      <w:szCs w:val="22"/>
                    </w:rPr>
                    <m:t>i∈K</m:t>
                  </m:r>
                </m:sub>
                <m:sup/>
                <m:e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eastAsiaTheme="majorEastAsia" w:hAnsi="Cambria Math" w:cstheme="majorBidi"/>
                          <w:i/>
                          <w:sz w:val="22"/>
                          <w:szCs w:val="22"/>
                        </w:rPr>
                      </m:ctrlPr>
                    </m:naryPr>
                    <m:sub>
                      <m:r>
                        <w:rPr>
                          <w:rFonts w:ascii="Cambria Math" w:eastAsiaTheme="majorEastAsia" w:hAnsi="Cambria Math" w:cstheme="majorBidi"/>
                          <w:sz w:val="22"/>
                          <w:szCs w:val="22"/>
                        </w:rPr>
                        <m:t>j∈K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2"/>
                              <w:szCs w:val="22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ajorEastAsia" w:hAnsi="Cambria Math" w:cstheme="majorBidi"/>
                              <w:sz w:val="22"/>
                              <w:szCs w:val="22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2"/>
                              <w:szCs w:val="22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ajorEastAsia" w:hAnsi="Cambria Math" w:cstheme="majorBidi"/>
                              <w:sz w:val="22"/>
                              <w:szCs w:val="22"/>
                            </w:rPr>
                            <m:t>j</m:t>
                          </m:r>
                        </m:sub>
                      </m:sSub>
                    </m:e>
                  </m:nary>
                  <m:sSubSup>
                    <m:sSubSup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eastAsiaTheme="majorEastAsia" w:hAnsi="Cambria Math" w:cstheme="majorBidi"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  <w:sz w:val="22"/>
                          <w:szCs w:val="22"/>
                        </w:rPr>
                        <m:t>i,j</m:t>
                      </m:r>
                    </m:sub>
                    <m:sup>
                      <m:r>
                        <w:rPr>
                          <w:rFonts w:ascii="Cambria Math" w:eastAsiaTheme="majorEastAsia" w:hAnsi="Cambria Math" w:cstheme="majorBidi"/>
                          <w:sz w:val="22"/>
                          <w:szCs w:val="22"/>
                        </w:rPr>
                        <m:t>2</m:t>
                      </m:r>
                    </m:sup>
                  </m:sSubSup>
                </m:e>
              </m:nary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ajorEastAsia" w:hAnsi="Cambria Math" w:cstheme="majorBidi"/>
                      <w:i/>
                      <w:i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Theme="majorEastAsia" w:hAnsi="Cambria Math" w:cstheme="majorBidi"/>
                      <w:sz w:val="22"/>
                      <w:szCs w:val="22"/>
                    </w:rPr>
                    <m:t>i∈K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ajorEastAsia" w:hAnsi="Cambria Math" w:cstheme="majorBidi"/>
                          <w:i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cstheme="majorBidi"/>
                          <w:sz w:val="22"/>
                          <w:szCs w:val="22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  <w:bookmarkStart w:id="4" w:name="_GoBack"/>
      <w:bookmarkEnd w:id="4"/>
    </w:p>
    <w:p w:rsidR="008425A7" w:rsidRDefault="008425A7">
      <w:pPr>
        <w:pStyle w:val="Standard"/>
        <w:rPr>
          <w:rFonts w:ascii="Calibri" w:hAnsi="Calibri"/>
          <w:sz w:val="22"/>
          <w:szCs w:val="22"/>
          <w:shd w:val="clear" w:color="auto" w:fill="FFFF00"/>
        </w:rPr>
      </w:pPr>
    </w:p>
    <w:p w:rsidR="008425A7" w:rsidRDefault="00396D66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Cette formule redonne l’expression de la variance de la classe lorsque la distance considérée</w:t>
      </w:r>
      <w:r w:rsidR="00AE34F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est euclidienne.     </w:t>
      </w:r>
    </w:p>
    <w:p w:rsidR="008425A7" w:rsidRDefault="008425A7">
      <w:pPr>
        <w:pStyle w:val="Standard"/>
      </w:pPr>
    </w:p>
    <w:p w:rsidR="008425A7" w:rsidRDefault="00396D66">
      <w:pPr>
        <w:pStyle w:val="Standard"/>
      </w:pPr>
      <w:r>
        <w:rPr>
          <w:rStyle w:val="Accentuation"/>
          <w:rFonts w:ascii="Calibri" w:hAnsi="Calibri"/>
          <w:bCs/>
          <w:i w:val="0"/>
          <w:iCs w:val="0"/>
          <w:sz w:val="22"/>
          <w:szCs w:val="22"/>
        </w:rPr>
        <w:t xml:space="preserve">Dans le second groupe d’exemples, on cherchera à appliquer ces techniques à des cas non euclidiens, par exemple en comparant département de naissance et département de résidence.    </w:t>
      </w:r>
    </w:p>
    <w:p w:rsidR="002440D5" w:rsidRDefault="002440D5">
      <w:pPr>
        <w:pStyle w:val="Bibliographie"/>
        <w:rPr>
          <w:rFonts w:ascii="Calibri" w:hAnsi="Calibri" w:cs="Calibri"/>
          <w:sz w:val="24"/>
          <w:szCs w:val="24"/>
          <w:lang w:val="en-US"/>
        </w:rPr>
      </w:pPr>
    </w:p>
    <w:p w:rsidR="002440D5" w:rsidRDefault="002440D5">
      <w:pPr>
        <w:pStyle w:val="Bibliographie"/>
        <w:rPr>
          <w:rFonts w:ascii="Calibri" w:hAnsi="Calibri" w:cs="Calibri"/>
          <w:sz w:val="24"/>
          <w:szCs w:val="24"/>
          <w:lang w:val="en-US"/>
        </w:rPr>
      </w:pPr>
    </w:p>
    <w:p w:rsidR="002440D5" w:rsidRDefault="002440D5">
      <w:pPr>
        <w:pStyle w:val="Bibliographie"/>
        <w:rPr>
          <w:rFonts w:ascii="Calibri" w:hAnsi="Calibri" w:cs="Calibri"/>
          <w:sz w:val="24"/>
          <w:szCs w:val="24"/>
          <w:lang w:val="en-US"/>
        </w:rPr>
      </w:pPr>
    </w:p>
    <w:p w:rsidR="008425A7" w:rsidRPr="002440D5" w:rsidRDefault="00396D66">
      <w:pPr>
        <w:pStyle w:val="Bibliographie"/>
        <w:rPr>
          <w:lang w:val="en-US"/>
        </w:rPr>
      </w:pPr>
      <w:proofErr w:type="spellStart"/>
      <w:r w:rsidRPr="002440D5">
        <w:rPr>
          <w:rFonts w:ascii="Calibri" w:hAnsi="Calibri" w:cs="Calibri"/>
          <w:sz w:val="24"/>
          <w:szCs w:val="24"/>
          <w:lang w:val="en-US"/>
        </w:rPr>
        <w:t>Bibliographie</w:t>
      </w:r>
      <w:proofErr w:type="spellEnd"/>
      <w:r w:rsidRPr="002440D5">
        <w:rPr>
          <w:rFonts w:ascii="Calibri" w:hAnsi="Calibri"/>
          <w:i/>
          <w:iCs/>
          <w:sz w:val="24"/>
          <w:szCs w:val="24"/>
          <w:shd w:val="clear" w:color="auto" w:fill="FFFF00"/>
          <w:lang w:val="en-US"/>
        </w:rPr>
        <w:t xml:space="preserve"> </w:t>
      </w:r>
      <w:r w:rsidRPr="002440D5">
        <w:rPr>
          <w:rFonts w:ascii="Calibri" w:hAnsi="Calibri"/>
          <w:b w:val="0"/>
          <w:bCs/>
          <w:sz w:val="24"/>
          <w:szCs w:val="24"/>
          <w:shd w:val="clear" w:color="auto" w:fill="FFFF00"/>
          <w:lang w:val="en-US"/>
        </w:rPr>
        <w:t>Calibri 12</w:t>
      </w:r>
    </w:p>
    <w:p w:rsidR="008425A7" w:rsidRPr="002440D5" w:rsidRDefault="008425A7">
      <w:pPr>
        <w:pStyle w:val="Standard"/>
        <w:rPr>
          <w:rFonts w:ascii="Calibri" w:hAnsi="Calibri" w:cs="Times New Roman"/>
          <w:sz w:val="24"/>
          <w:szCs w:val="24"/>
          <w:lang w:val="en-US"/>
        </w:rPr>
      </w:pPr>
    </w:p>
    <w:p w:rsidR="008425A7" w:rsidRPr="002440D5" w:rsidRDefault="00396D66">
      <w:pPr>
        <w:pStyle w:val="Standard"/>
        <w:rPr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[1]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Elston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Lafata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J., Koch G.G.,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Weissert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W.G., « Estimating activity limitation in the non-institutionalized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population :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a method for small areas »,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American Journal of Public Health</w:t>
      </w:r>
      <w:r>
        <w:rPr>
          <w:rFonts w:ascii="Calibri" w:hAnsi="Calibri" w:cs="Calibri"/>
          <w:sz w:val="24"/>
          <w:szCs w:val="24"/>
          <w:lang w:val="en-US"/>
        </w:rPr>
        <w:t xml:space="preserve">, vol 84, n° 11, pp 1813-1817,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november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1994.</w:t>
      </w:r>
    </w:p>
    <w:p w:rsidR="008425A7" w:rsidRDefault="00396D66">
      <w:pPr>
        <w:pStyle w:val="Standar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[2] </w:t>
      </w:r>
      <w:proofErr w:type="spellStart"/>
      <w:r>
        <w:rPr>
          <w:rFonts w:ascii="Calibri" w:hAnsi="Calibri" w:cs="Calibri"/>
          <w:sz w:val="24"/>
          <w:szCs w:val="24"/>
        </w:rPr>
        <w:t>Erathosthène</w:t>
      </w:r>
      <w:proofErr w:type="spellEnd"/>
      <w:r>
        <w:rPr>
          <w:rFonts w:ascii="Calibri" w:hAnsi="Calibri" w:cs="Calibri"/>
          <w:sz w:val="24"/>
          <w:szCs w:val="24"/>
        </w:rPr>
        <w:t>, « Un algorithme de détermination du PGCD par le crible éponyme », III</w:t>
      </w:r>
      <w:r>
        <w:rPr>
          <w:rFonts w:ascii="Calibri" w:hAnsi="Calibri" w:cs="Calibri"/>
          <w:sz w:val="24"/>
          <w:szCs w:val="24"/>
          <w:vertAlign w:val="superscript"/>
        </w:rPr>
        <w:t>e</w:t>
      </w:r>
      <w:r>
        <w:rPr>
          <w:rFonts w:ascii="Calibri" w:hAnsi="Calibri" w:cs="Calibri"/>
          <w:sz w:val="24"/>
          <w:szCs w:val="24"/>
        </w:rPr>
        <w:t xml:space="preserve"> siècle avant J-C.</w:t>
      </w:r>
    </w:p>
    <w:p w:rsidR="008425A7" w:rsidRDefault="00396D66">
      <w:pPr>
        <w:pStyle w:val="Standard"/>
      </w:pPr>
      <w:r>
        <w:rPr>
          <w:rFonts w:ascii="Calibri" w:hAnsi="Calibri" w:cs="Calibri"/>
          <w:sz w:val="24"/>
          <w:szCs w:val="24"/>
        </w:rPr>
        <w:t xml:space="preserve">[3] </w:t>
      </w:r>
      <w:proofErr w:type="spellStart"/>
      <w:r>
        <w:rPr>
          <w:rFonts w:ascii="Calibri" w:hAnsi="Calibri" w:cs="Calibri"/>
          <w:sz w:val="24"/>
          <w:szCs w:val="24"/>
        </w:rPr>
        <w:t>Molkogorov</w:t>
      </w:r>
      <w:proofErr w:type="spellEnd"/>
      <w:r>
        <w:rPr>
          <w:rFonts w:ascii="Calibri" w:hAnsi="Calibri" w:cs="Calibri"/>
          <w:sz w:val="24"/>
          <w:szCs w:val="24"/>
        </w:rPr>
        <w:t xml:space="preserve"> A., « Un théorème central limite universel ».  </w:t>
      </w:r>
    </w:p>
    <w:sectPr w:rsidR="008425A7">
      <w:headerReference w:type="default" r:id="rId8"/>
      <w:footerReference w:type="default" r:id="rId9"/>
      <w:pgSz w:w="11906" w:h="16838"/>
      <w:pgMar w:top="1116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9A6" w:rsidRDefault="007909A6">
      <w:r>
        <w:separator/>
      </w:r>
    </w:p>
  </w:endnote>
  <w:endnote w:type="continuationSeparator" w:id="0">
    <w:p w:rsidR="007909A6" w:rsidRDefault="0079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7B8" w:rsidRDefault="00396D66">
    <w:pPr>
      <w:pStyle w:val="Pieddepage"/>
      <w:jc w:val="center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>15</w:t>
    </w:r>
    <w:r>
      <w:rPr>
        <w:rFonts w:ascii="Calibri" w:hAnsi="Calibri" w:cs="Calibri"/>
        <w:i/>
        <w:iCs/>
        <w:vertAlign w:val="superscript"/>
      </w:rPr>
      <w:t>e</w:t>
    </w:r>
    <w:r>
      <w:rPr>
        <w:rFonts w:ascii="Calibri" w:hAnsi="Calibri" w:cs="Calibri"/>
        <w:i/>
        <w:iCs/>
      </w:rPr>
      <w:t xml:space="preserve"> édition des Journées de méthodologie statistique de l’Insee (JMS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9A6" w:rsidRDefault="007909A6">
      <w:r>
        <w:rPr>
          <w:color w:val="000000"/>
        </w:rPr>
        <w:separator/>
      </w:r>
    </w:p>
  </w:footnote>
  <w:footnote w:type="continuationSeparator" w:id="0">
    <w:p w:rsidR="007909A6" w:rsidRDefault="007909A6">
      <w:r>
        <w:continuationSeparator/>
      </w:r>
    </w:p>
  </w:footnote>
  <w:footnote w:id="1">
    <w:p w:rsidR="008425A7" w:rsidRDefault="00396D66">
      <w:pPr>
        <w:pStyle w:val="Footnote"/>
        <w:jc w:val="both"/>
      </w:pPr>
      <w:r>
        <w:rPr>
          <w:rStyle w:val="Appelnotedebasdep"/>
        </w:rPr>
        <w:footnoteRef/>
      </w:r>
      <w:r>
        <w:rPr>
          <w:rFonts w:eastAsia="Arial"/>
        </w:rPr>
        <w:t xml:space="preserve"> </w:t>
      </w:r>
      <w:r>
        <w:rPr>
          <w:rFonts w:ascii="Calibri" w:hAnsi="Calibri"/>
          <w:szCs w:val="20"/>
        </w:rPr>
        <w:t xml:space="preserve">« Un algorithme de regroupement d’unités statistiques selon certains critères de similitude », Marc CHRISTINE et Michel ISNARD, </w:t>
      </w:r>
      <w:proofErr w:type="spellStart"/>
      <w:proofErr w:type="gramStart"/>
      <w:r>
        <w:rPr>
          <w:rFonts w:ascii="Calibri" w:hAnsi="Calibri"/>
          <w:szCs w:val="20"/>
        </w:rPr>
        <w:t>VII</w:t>
      </w:r>
      <w:r>
        <w:rPr>
          <w:rFonts w:ascii="Calibri" w:hAnsi="Calibri"/>
          <w:szCs w:val="20"/>
          <w:vertAlign w:val="superscript"/>
        </w:rPr>
        <w:t>èmes</w:t>
      </w:r>
      <w:proofErr w:type="spellEnd"/>
      <w:r>
        <w:rPr>
          <w:rFonts w:ascii="Calibri" w:hAnsi="Calibri"/>
          <w:szCs w:val="20"/>
          <w:vertAlign w:val="superscript"/>
        </w:rPr>
        <w:t xml:space="preserve">  </w:t>
      </w:r>
      <w:r>
        <w:rPr>
          <w:rFonts w:ascii="Calibri" w:hAnsi="Calibri"/>
          <w:szCs w:val="20"/>
        </w:rPr>
        <w:t>Journées</w:t>
      </w:r>
      <w:proofErr w:type="gramEnd"/>
      <w:r>
        <w:rPr>
          <w:rFonts w:ascii="Calibri" w:hAnsi="Calibri"/>
          <w:szCs w:val="20"/>
        </w:rPr>
        <w:t xml:space="preserve"> de Méthodologie statistique, 4-5 décembre 2000. </w:t>
      </w:r>
      <w:r>
        <w:rPr>
          <w:rFonts w:ascii="Calibri" w:hAnsi="Calibri"/>
          <w:szCs w:val="20"/>
          <w:shd w:val="clear" w:color="auto" w:fill="FFFF00"/>
        </w:rPr>
        <w:t>Calibri 10</w:t>
      </w:r>
    </w:p>
    <w:p w:rsidR="008425A7" w:rsidRDefault="008425A7">
      <w:pPr>
        <w:pStyle w:val="Footnote"/>
        <w:rPr>
          <w:shd w:val="clear" w:color="auto" w:fill="FFFF00"/>
        </w:rPr>
      </w:pPr>
    </w:p>
    <w:p w:rsidR="008425A7" w:rsidRDefault="008425A7">
      <w:pPr>
        <w:pStyle w:val="Footnote"/>
      </w:pPr>
    </w:p>
    <w:p w:rsidR="008425A7" w:rsidRDefault="008425A7">
      <w:pPr>
        <w:pStyle w:val="Foot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7B8" w:rsidRDefault="002440D5" w:rsidP="002440D5">
    <w:pPr>
      <w:pStyle w:val="En-tte"/>
      <w:ind w:left="426"/>
    </w:pPr>
    <w:r w:rsidRPr="002440D5">
      <w:rPr>
        <w:noProof/>
      </w:rPr>
      <w:drawing>
        <wp:inline distT="0" distB="0" distL="0" distR="0" wp14:anchorId="25828CD2" wp14:editId="54CF3535">
          <wp:extent cx="5760720" cy="746760"/>
          <wp:effectExtent l="0" t="0" r="0" b="0"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914D4B01-AC5B-4798-A42F-AB816B7AE2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914D4B01-AC5B-4798-A42F-AB816B7AE2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47B8" w:rsidRDefault="007909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C68"/>
    <w:multiLevelType w:val="multilevel"/>
    <w:tmpl w:val="2AD2269A"/>
    <w:styleLink w:val="WW8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1F7F7C4A"/>
    <w:multiLevelType w:val="multilevel"/>
    <w:tmpl w:val="E2487A56"/>
    <w:styleLink w:val="WW8Num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1.1.%3."/>
      <w:lvlJc w:val="left"/>
      <w:pPr>
        <w:ind w:left="1944" w:hanging="504"/>
      </w:pPr>
    </w:lvl>
    <w:lvl w:ilvl="3">
      <w:start w:val="1"/>
      <w:numFmt w:val="decimal"/>
      <w:lvlText w:val="1.1.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27465DD5"/>
    <w:multiLevelType w:val="multilevel"/>
    <w:tmpl w:val="01521CD4"/>
    <w:styleLink w:val="WW8Num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2CEB6E1E"/>
    <w:multiLevelType w:val="multilevel"/>
    <w:tmpl w:val="72C4575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307E11CD"/>
    <w:multiLevelType w:val="multilevel"/>
    <w:tmpl w:val="1682CAD2"/>
    <w:styleLink w:val="WW8Num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D010EF3"/>
    <w:multiLevelType w:val="multilevel"/>
    <w:tmpl w:val="630C54F4"/>
    <w:styleLink w:val="WW8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3F4A3FDD"/>
    <w:multiLevelType w:val="multilevel"/>
    <w:tmpl w:val="A2E23404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0A2910"/>
    <w:multiLevelType w:val="multilevel"/>
    <w:tmpl w:val="F3DE3C7E"/>
    <w:styleLink w:val="WW8Num3"/>
    <w:lvl w:ilvl="0">
      <w:start w:val="1"/>
      <w:numFmt w:val="decimal"/>
      <w:pStyle w:val="Titreniveau3NUMEROTE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60FB5688"/>
    <w:multiLevelType w:val="multilevel"/>
    <w:tmpl w:val="E424D3D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2.1.%3."/>
      <w:lvlJc w:val="left"/>
      <w:pPr>
        <w:ind w:left="1584" w:hanging="504"/>
      </w:pPr>
    </w:lvl>
    <w:lvl w:ilvl="3">
      <w:start w:val="1"/>
      <w:numFmt w:val="decimal"/>
      <w:lvlText w:val="2.1.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722C48FF"/>
    <w:multiLevelType w:val="multilevel"/>
    <w:tmpl w:val="437C3BCE"/>
    <w:styleLink w:val="WW8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2.1.%3."/>
      <w:lvlJc w:val="left"/>
      <w:pPr>
        <w:ind w:left="1584" w:hanging="504"/>
      </w:pPr>
    </w:lvl>
    <w:lvl w:ilvl="3">
      <w:start w:val="1"/>
      <w:numFmt w:val="decimal"/>
      <w:lvlText w:val="2.1.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A7"/>
    <w:rsid w:val="00106016"/>
    <w:rsid w:val="00185338"/>
    <w:rsid w:val="002440D5"/>
    <w:rsid w:val="00355204"/>
    <w:rsid w:val="00396D66"/>
    <w:rsid w:val="00735F17"/>
    <w:rsid w:val="007909A6"/>
    <w:rsid w:val="008425A7"/>
    <w:rsid w:val="00935FA9"/>
    <w:rsid w:val="00AE34F5"/>
    <w:rsid w:val="00D2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5CE6"/>
  <w15:docId w15:val="{BB640949-BFD6-40E6-8BC4-8430E954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spacing w:before="240" w:after="120"/>
      <w:outlineLvl w:val="0"/>
    </w:pPr>
    <w:rPr>
      <w:b/>
      <w:bCs/>
      <w:sz w:val="28"/>
      <w:szCs w:val="32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spacing w:before="240" w:after="120"/>
      <w:outlineLvl w:val="1"/>
    </w:pPr>
    <w:rPr>
      <w:b/>
      <w:bCs/>
      <w:iCs/>
      <w:sz w:val="24"/>
      <w:szCs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spacing w:before="240" w:after="120"/>
      <w:outlineLvl w:val="2"/>
    </w:pPr>
    <w:rPr>
      <w:bCs/>
      <w:sz w:val="24"/>
      <w:szCs w:val="26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spacing w:before="240" w:after="120"/>
      <w:outlineLvl w:val="3"/>
    </w:pPr>
    <w:rPr>
      <w:rFonts w:cs="Times New Roman"/>
      <w:bCs/>
      <w:i/>
      <w:sz w:val="24"/>
      <w:szCs w:val="28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Standard"/>
    <w:next w:val="Standar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re8">
    <w:name w:val="heading 8"/>
    <w:basedOn w:val="Standard"/>
    <w:next w:val="Standar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Standard"/>
    <w:next w:val="Standard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ascii="Arial" w:eastAsia="Times New Roman" w:hAnsi="Arial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itredelarticle">
    <w:name w:val="Titre de l'article"/>
    <w:basedOn w:val="Standard"/>
    <w:next w:val="Standard"/>
    <w:pPr>
      <w:spacing w:after="480"/>
      <w:jc w:val="center"/>
    </w:pPr>
    <w:rPr>
      <w:b/>
      <w:caps/>
      <w:sz w:val="32"/>
    </w:rPr>
  </w:style>
  <w:style w:type="paragraph" w:customStyle="1" w:styleId="Auteurs">
    <w:name w:val="Auteur(s)"/>
    <w:basedOn w:val="Standard"/>
    <w:next w:val="Standard"/>
    <w:pPr>
      <w:spacing w:before="240"/>
      <w:jc w:val="right"/>
    </w:pPr>
    <w:rPr>
      <w:i/>
      <w:sz w:val="24"/>
    </w:rPr>
  </w:style>
  <w:style w:type="paragraph" w:styleId="Bibliographie">
    <w:name w:val="Bibliography"/>
    <w:basedOn w:val="Standard"/>
    <w:next w:val="Standard"/>
    <w:rPr>
      <w:b/>
      <w:sz w:val="28"/>
    </w:rPr>
  </w:style>
  <w:style w:type="paragraph" w:customStyle="1" w:styleId="Footnote">
    <w:name w:val="Footnote"/>
    <w:basedOn w:val="Normal"/>
    <w:rPr>
      <w:rFonts w:cs="Mangal"/>
      <w:sz w:val="20"/>
      <w:szCs w:val="18"/>
    </w:rPr>
  </w:style>
  <w:style w:type="paragraph" w:customStyle="1" w:styleId="Titredegraphique">
    <w:name w:val="Titre de graphique"/>
    <w:basedOn w:val="Standard"/>
    <w:pPr>
      <w:spacing w:before="240" w:after="120"/>
    </w:pPr>
    <w:rPr>
      <w:b/>
    </w:rPr>
  </w:style>
  <w:style w:type="paragraph" w:customStyle="1" w:styleId="Notesousillustrations">
    <w:name w:val="Note sous illustrations"/>
    <w:basedOn w:val="Standard"/>
    <w:rPr>
      <w:sz w:val="18"/>
    </w:rPr>
  </w:style>
  <w:style w:type="paragraph" w:customStyle="1" w:styleId="Sourcesousillustration">
    <w:name w:val="Source sous illustration"/>
    <w:basedOn w:val="Standard"/>
    <w:rPr>
      <w:i/>
      <w:sz w:val="18"/>
    </w:rPr>
  </w:style>
  <w:style w:type="paragraph" w:customStyle="1" w:styleId="Organismedu1erauteur">
    <w:name w:val="Organisme du 1er auteur"/>
    <w:basedOn w:val="Auteurs"/>
    <w:next w:val="Standard"/>
  </w:style>
  <w:style w:type="paragraph" w:customStyle="1" w:styleId="Organismedesautresauteurs">
    <w:name w:val="Organisme des autres auteurs"/>
    <w:basedOn w:val="Organismedu1erauteur"/>
    <w:next w:val="Standard"/>
    <w:pPr>
      <w:spacing w:before="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itreniveau2NUMEROTE">
    <w:name w:val="Titre niveau 2 NUMEROTE"/>
    <w:basedOn w:val="Standard"/>
    <w:next w:val="Standard"/>
    <w:pPr>
      <w:jc w:val="left"/>
    </w:pPr>
    <w:rPr>
      <w:b/>
      <w:sz w:val="24"/>
    </w:rPr>
  </w:style>
  <w:style w:type="paragraph" w:customStyle="1" w:styleId="Titreniveau1NUMEROTE">
    <w:name w:val="Titre niveau 1 NUMEROTE"/>
    <w:basedOn w:val="Standard"/>
    <w:next w:val="Standard"/>
    <w:pPr>
      <w:jc w:val="left"/>
    </w:pPr>
    <w:rPr>
      <w:rFonts w:cs="Times New Roman"/>
      <w:b/>
      <w:bCs/>
      <w:sz w:val="28"/>
      <w:szCs w:val="28"/>
    </w:rPr>
  </w:style>
  <w:style w:type="paragraph" w:customStyle="1" w:styleId="Titreniveau4NUMEROTE">
    <w:name w:val="Titre niveau 4 NUMEROTE"/>
    <w:basedOn w:val="Standard"/>
    <w:next w:val="Standard"/>
    <w:rPr>
      <w:bCs/>
      <w:i/>
      <w:iCs/>
      <w:sz w:val="24"/>
      <w:szCs w:val="28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itreniveau3NUMEROTE">
    <w:name w:val="Titre niveau 3 NUMEROTE"/>
    <w:basedOn w:val="Standard"/>
    <w:next w:val="Standard"/>
    <w:pPr>
      <w:numPr>
        <w:numId w:val="3"/>
      </w:numPr>
      <w:jc w:val="left"/>
    </w:pPr>
    <w:rPr>
      <w:sz w:val="24"/>
    </w:rPr>
  </w:style>
  <w:style w:type="paragraph" w:customStyle="1" w:styleId="NormallYves">
    <w:name w:val="NormallYves"/>
    <w:pPr>
      <w:widowControl/>
      <w:suppressAutoHyphens/>
      <w:spacing w:after="57"/>
      <w:jc w:val="both"/>
    </w:pPr>
    <w:rPr>
      <w:rFonts w:ascii="Arial" w:eastAsia="Times New Roman" w:hAnsi="Arial"/>
      <w:color w:val="00000A"/>
      <w:sz w:val="20"/>
      <w:szCs w:val="20"/>
      <w:lang w:bidi="ar-SA"/>
    </w:rPr>
  </w:style>
  <w:style w:type="paragraph" w:customStyle="1" w:styleId="Text">
    <w:name w:val="Text"/>
    <w:basedOn w:val="Standard"/>
    <w:pPr>
      <w:tabs>
        <w:tab w:val="left" w:pos="851"/>
      </w:tabs>
      <w:overflowPunct w:val="0"/>
      <w:autoSpaceDE w:val="0"/>
      <w:spacing w:before="240"/>
    </w:pPr>
    <w:rPr>
      <w:rFonts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FootnoteSymbol">
    <w:name w:val="Footnote Symbol"/>
    <w:basedOn w:val="Policepardfaut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NotedebasdepageCar">
    <w:name w:val="Note de bas de page Car"/>
    <w:basedOn w:val="Policepardfaut"/>
    <w:rPr>
      <w:rFonts w:cs="Mangal"/>
      <w:sz w:val="20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-Policepardfaut">
    <w:name w:val="WW-Police par défaut"/>
  </w:style>
  <w:style w:type="character" w:styleId="Accentuation">
    <w:name w:val="Emphasis"/>
    <w:basedOn w:val="WW-Policepardfaut"/>
    <w:rPr>
      <w:i/>
      <w:iCs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character" w:styleId="Textedelespacerserv">
    <w:name w:val="Placeholder Text"/>
    <w:basedOn w:val="Policepardfaut"/>
    <w:uiPriority w:val="99"/>
    <w:semiHidden/>
    <w:rsid w:val="003552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oine.dupont@ins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style pour résumé JMS</vt:lpstr>
    </vt:vector>
  </TitlesOfParts>
  <Company>INSEE-SNPT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style pour résumé JMS</dc:title>
  <dc:creator>TerraNova</dc:creator>
  <cp:lastModifiedBy>Brouillet Frédéric</cp:lastModifiedBy>
  <cp:revision>2</cp:revision>
  <dcterms:created xsi:type="dcterms:W3CDTF">2025-01-24T10:11:00Z</dcterms:created>
  <dcterms:modified xsi:type="dcterms:W3CDTF">2025-01-24T10:11:00Z</dcterms:modified>
</cp:coreProperties>
</file>